
<file path=[Content_Types].xml><?xml version="1.0" encoding="utf-8"?>
<Types xmlns="http://schemas.openxmlformats.org/package/2006/content-types">
  <Default Extension="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32" w:topFromText="0" w:vertAnchor="text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3934"/>
      </w:tblGrid>
      <w:tr>
        <w:trPr>
          <w:trHeight w:val="1087" w:hRule="atLeast"/>
        </w:trPr>
        <w:tc>
          <w:tcPr>
            <w:tcW w:w="5636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ПРИНЯТО: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общим собранием работников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МДОАУ №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01.03.2022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г. №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УТВЕРЖДЕНО: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Приказом МДОАУ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01.03.20222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32-ОД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Заведующий МДОАУ № 150</w:t>
            </w:r>
          </w:p>
        </w:tc>
      </w:tr>
      <w:tr>
        <w:trPr>
          <w:trHeight w:val="734" w:hRule="atLeast"/>
        </w:trPr>
        <w:tc>
          <w:tcPr>
            <w:tcW w:w="5636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934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ru-RU"/>
              </w:rPr>
              <w:t>Масленникова Л. П.</w:t>
            </w:r>
          </w:p>
        </w:tc>
      </w:tr>
      <w:tr>
        <w:trPr>
          <w:trHeight w:val="336" w:hRule="atLeast"/>
        </w:trPr>
        <w:tc>
          <w:tcPr>
            <w:tcW w:w="5636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934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М.П.</w:t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О ПОРЯДКЕ БЕСПЛАТНОГО ПОЛЬЗОВАНИЯ БИБЛИОТЕКОЙ, ИНФОРМАЦИОННЫМИ РЕСУРСАМИ              </w:t>
      </w:r>
      <w:r>
        <w:rPr>
          <w:rFonts w:eastAsia="Calibri" w:cs="Times New Roman" w:ascii="Times New Roman" w:hAnsi="Times New Roman"/>
          <w:b/>
          <w:iCs/>
          <w:sz w:val="32"/>
          <w:szCs w:val="32"/>
        </w:rPr>
        <w:t xml:space="preserve">И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>
        <w:rPr>
          <w:rFonts w:cs="Times New Roman" w:ascii="Times New Roman" w:hAnsi="Times New Roman"/>
          <w:b/>
          <w:sz w:val="32"/>
          <w:szCs w:val="32"/>
        </w:rPr>
        <w:t xml:space="preserve">ПЕДАГОГИЧЕСКИМИ РАБОТНИКАМИ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муниципального дошкольного образовательного автономного учреждения «Детский сад № 150»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г. Оренбург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1.1. Настоящее Положение </w:t>
      </w:r>
      <w:r>
        <w:rPr>
          <w:rFonts w:cs="Times New Roman" w:ascii="Times New Roman" w:hAnsi="Times New Roman"/>
          <w:sz w:val="28"/>
          <w:szCs w:val="28"/>
        </w:rPr>
        <w:t>о порядке бесплатного пользования библиотекой, информационными ресурсами и</w:t>
      </w:r>
      <w:r>
        <w:rPr>
          <w:rFonts w:eastAsia="Calibri" w:cs="Times New Roman" w:ascii="Times New Roman" w:hAnsi="Times New Roman"/>
          <w:iCs/>
          <w:sz w:val="28"/>
          <w:szCs w:val="28"/>
        </w:rPr>
        <w:t xml:space="preserve">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педагогическими работниками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дошкольного образовательного автономного учреждения «Детский сад № 150» </w:t>
      </w:r>
      <w:r>
        <w:rPr>
          <w:rFonts w:eastAsia="Calibri" w:cs="Times New Roman" w:ascii="Times New Roman" w:hAnsi="Times New Roman"/>
          <w:iCs/>
          <w:sz w:val="28"/>
          <w:szCs w:val="28"/>
        </w:rPr>
        <w:t xml:space="preserve">(далее по тексту - Положение) </w:t>
      </w:r>
      <w:r>
        <w:rPr>
          <w:rFonts w:cs="Times New Roman" w:ascii="Times New Roman" w:hAnsi="Times New Roman"/>
          <w:sz w:val="28"/>
          <w:szCs w:val="28"/>
        </w:rPr>
        <w:t xml:space="preserve">разработано в соответствии с пп.7 п.3 ст.47 Федерального закона Российской Федерации от 29.12.2012 № 273-ФЗ «Об Образовании в Российской Федерации», Устава муниципального дошкольного образовательного автономного учреждения «Детский сад № 150» (далее по тексту - Учреждение),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регламентирует </w:t>
      </w:r>
      <w:r>
        <w:rPr>
          <w:rFonts w:cs="Times New Roman" w:ascii="Times New Roman" w:hAnsi="Times New Roman"/>
          <w:sz w:val="28"/>
          <w:szCs w:val="28"/>
        </w:rPr>
        <w:t xml:space="preserve">право педагогических работников на бесплатное пользование библиотекой, информационными ресурсами и </w:t>
      </w:r>
      <w:r>
        <w:rPr>
          <w:rFonts w:cs="Times New Roman" w:ascii="Times New Roman" w:hAnsi="Times New Roman"/>
          <w:sz w:val="28"/>
          <w:szCs w:val="28"/>
          <w:lang w:eastAsia="ru-RU"/>
        </w:rPr>
        <w:t>доступ педагогических работников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Основные задачи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Доступ педагогических работников к вышеперечисленным ресурсам обеспечивается в целях качественного осуществления ими педагогической, образовательной и иной деятельности, предусмотренной уставом Учреждения.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Воспитание культурного и гражданского самосознания, помощь в социализации воспитанников, развития их творческого потенциала.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Создание комфортной библиотечной среды.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Основные функции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Комплектование библиотечного фонда Учреждения: -печатными учебными изданиями; -электронными учебными изданиями; - методическими изданиями; - периодическими изданиями.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Размещение книг, аудио-видеофонда, обеспечение их сохранности.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 Помощь членам педагогического коллектива в организации образовательного процесса и досуга воспитанников.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 Просветительская работа с родителями.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4. Организация деятельности библиотеки</w:t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4.1 Общее руководство деятельностью библиотеки осуществляет заведующий.</w:t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4.2 Библиотека расположена в методическом кабинете, режим ее работы устанавливается заместителем заведующего во воспитательно-образовательной и методической работе.</w:t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4.3 Заместитель заведующего во воспитательно-образовательной и методической работе: - отвечает за регистрацию библиотечного фонда, ведет его учет в журнале; -формирует фонд в соответствии с интересами и потребностями всех педагогов и родителей; -совершенствует библиотечное обслуживание пользователей; -обеспечивает сохранность используемого книжного фонда, аудио-видеофонда, их размещение и хранение; -обеспечивает режим работы в соответствии с запросом педагогов.</w:t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5. Права пользователей библиотечным фондом</w:t>
      </w:r>
    </w:p>
    <w:p>
      <w:pPr>
        <w:pStyle w:val="Normal"/>
        <w:widowControl w:val="false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Педагогическим работникам Учреждения бесплатно предоставляются в пользование на время работы учебно-методические материалы и иные библиотечно-информационные ресурсы.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Педагогические работники Учреждения имеют право: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1) получать полную информацию о составе библиотечного фонда, информационных ресурсах и предоставляемых услугах;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2) пользоваться справочно-библиографическим аппаратом библиотеки;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3) получать консультационную помощь в поиске и выборе источников информации;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4) получать во временное пользование на абонементе и в методическом кабинете печатные издания, аудиовизуальные документы и другие источники информации;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5) продлевать срок пользования документами;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6) получать тематические, фактографические, уточняющие и библиографические справки на основе фонда библиотеки;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7) получать консультационную помощь,в работе с информацией на нетрадиционных носителях при пользовании электронным и иным оборудованием.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6. Обязанности пользователей библиотекой 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6.1 Соблюдать правила пользования библиотекой.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6.2 Бережно относиться к книгам и другим информационным носителям.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6.3 Возвращать книги и другие информационные носители в установленные сроки.</w:t>
      </w:r>
    </w:p>
    <w:p>
      <w:pPr>
        <w:pStyle w:val="Normal"/>
        <w:widowControl w:val="false"/>
        <w:tabs>
          <w:tab w:val="clear" w:pos="708"/>
          <w:tab w:val="left" w:pos="124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Доступ к информационно-телекоммуникационным сетям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заместителем заведующего по воспитательно-образовательной и методической работе Учреждения.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 Доступ к базам данных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8.1.Педагогическим работникам обеспечивается доступ к следующим электронным базам данных: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профессиональные базы данных;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информационные справочные системы;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поисковые системы.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724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9. Доступ к учебным и методическим материалам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9.1. Учебные и методические материалы, размещаемые на официальном сайте Учреждения, находятся в открытом доступе.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9.2. Педагогическим работникам по их запросам могут выдаваться во временное пользование учебные и методические материалы, входящие в оснащение библиотеки методического кабинета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9.3. Выдача педагогическим работникам во временное пользование учебных и методических материалов, входящих в оснащение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методического кабинета</w:t>
      </w:r>
      <w:r>
        <w:rPr>
          <w:rFonts w:eastAsia="Calibri" w:cs="Times New Roman" w:ascii="Times New Roman" w:hAnsi="Times New Roman"/>
          <w:sz w:val="28"/>
          <w:szCs w:val="28"/>
        </w:rPr>
        <w:t>, осуществляется заместителем заведующего по воспитательно-образовательной и методической работе.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9.4. Срок, на который выдаются учебные и методические материалы, определяется заместителем заведующего по воспитательно-образовательной и методической работе с учетом востребованности использования запрашиваемых материалов в данном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9.5. Выдача педагогическому работнику и сдача им учебных и методических материалов фиксируются в журнале выдачи.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10. Доступ к материально-техническим средствам обеспечения образовательной деятельности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10.1. Доступ педагогических работников к материально-техническим средствам обеспечения образовательной деятельности осуществляется без ограничения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групповым комнатам,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методическому кабинету, спортивному и музыкальному залам и иным помещениям и местам проведения занятий во время, определенное в расписании занятий.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Выдача педагогическом работнику и сдача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 xml:space="preserve"> им движимых (переносных) материально-технических средств обеспечения образовательной деятельности фиксируются в журнале выдачи.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10.3.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Педагогический работник может сделать не более 50 копий страниц формата А4 в квартал.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10.4. Для распечатывания учебных и методических материалов педагогические работники имеют право пользоваться принтером.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Педагогический работник может распечатать на принтере не более 50 страниц формата А4 в квартал.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10.5. В случае необходимости тиражирования или печати сверх установленного объёма педагогический работник обязан обратиться со служебной запиской на имя руководителя (заведующего) Учреждения.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10.6.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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154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03548b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f2166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4717a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03548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7f2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216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4717a3"/>
    <w:pPr>
      <w:widowControl w:val="false"/>
      <w:shd w:val="clear" w:color="auto" w:fill="FFFFFF"/>
      <w:spacing w:lineRule="exact" w:line="317" w:before="0" w:after="4920"/>
    </w:pPr>
    <w:rPr>
      <w:rFonts w:ascii="Times New Roman" w:hAnsi="Times New Roman" w:eastAsia="Times New Roman" w:cs="Times New Roman"/>
      <w:sz w:val="28"/>
      <w:szCs w:val="28"/>
    </w:rPr>
  </w:style>
  <w:style w:type="paragraph" w:styleId="ConsPlusNormal" w:customStyle="1">
    <w:name w:val="ConsPlusNormal"/>
    <w:qFormat/>
    <w:rsid w:val="007e6df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7f2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Zf2Tgj+74z5pSQqsMcOneD9gkGs=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hp5px3h2AYFQqLkXmfo91PCAg81gEwBSSyv+4S8m+i0X4LjOjwS155x2WxYQiCyQB0jN91SE
    nztARTSSjjLpuLIgRbZc+KWRq3qW5WPel3/Mr3hU78p1VtwWxHpxZa3OT4rIL6p1J0ms6X6J
    Wv361fliHfccmRJQj1WgqlgwJNg=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bhtCJ41WIz4dcXL7qEux11Q5V00=</DigestValue>
      </Reference>
      <Reference URI="/word/document.xml?ContentType=application/vnd.openxmlformats-officedocument.wordprocessingml.document.main+xml">
        <DigestMethod Algorithm="http://www.w3.org/2000/09/xmldsig#sha1"/>
        <DigestValue>+PXHkBPw9yfR2fYOJDfAptbuJQ8=</DigestValue>
      </Reference>
      <Reference URI="/word/fontTable.xml?ContentType=application/vnd.openxmlformats-officedocument.wordprocessingml.fontTable+xml">
        <DigestMethod Algorithm="http://www.w3.org/2000/09/xmldsig#sha1"/>
        <DigestValue>KVkf3unyBlyZKkhzxa39nX1iWD0=</DigestValue>
      </Reference>
      <Reference URI="/word/numbering.xml?ContentType=application/vnd.openxmlformats-officedocument.wordprocessingml.numbering+xml">
        <DigestMethod Algorithm="http://www.w3.org/2000/09/xmldsig#sha1"/>
        <DigestValue>YAi4+GGaCWJEQakxlmNu5rwp8mM=</DigestValue>
      </Reference>
      <Reference URI="/word/settings.xml?ContentType=application/vnd.openxmlformats-officedocument.wordprocessingml.settings+xml">
        <DigestMethod Algorithm="http://www.w3.org/2000/09/xmldsig#sha1"/>
        <DigestValue>+AXqJZGUe2VF/u/Qfwum0qw6dqI=</DigestValue>
      </Reference>
      <Reference URI="/word/styles.xml?ContentType=application/vnd.openxmlformats-officedocument.wordprocessingml.styles+xml">
        <DigestMethod Algorithm="http://www.w3.org/2000/09/xmldsig#sha1"/>
        <DigestValue>ocv+6mU4OdtR8kfyf+nm/qr7xeI=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>
          <mdssi:Format>YYYY-MM-DDThh:mm:ssTZD</mdssi:Format>
          <mdssi:Value>2025-01-27T08:16:14Z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FB9A-B0CE-43EF-8B9C-8F7EC125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LibreOffice/6.4.0.3$Windows_x86 LibreOffice_project/b0a288ab3d2d4774cb44b62f04d5d28733ac6df8</Application>
  <Pages>5</Pages>
  <Words>970</Words>
  <Characters>7717</Characters>
  <CharactersWithSpaces>8695</CharactersWithSpaces>
  <Paragraphs>67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2013-11-05T02:17:00Z</dcterms:created>
  <dc:creator>User</dc:creator>
  <dc:description/>
  <dc:language>ru-RU</dc:language>
  <cp:lastModifiedBy/>
  <cp:lastPrinted>2017-06-03T17:33:00Z</cp:lastPrinted>
  <dcterms:modified xsi:type="dcterms:W3CDTF">2025-01-24T15:01:42Z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